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13"/>
    <w:p>
      <w:pPr>
        <w:pStyle w:val="Heading1"/>
      </w:pPr>
      <w:r>
        <w:t xml:space="preserve">Homiletics Analysis: Hebrews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Hebrews 13 functions as the practical and doxological conclusion to one of the New Testament’s most sustained theological arguments. After twelve chapters establishing the superiority of Christ as the final high priest who has offered the definitive sacrifice and opened the way into the heavenly sanctuary, chapter 13 grounds that theology in concrete community life. The author moves through a series of imperatives: love for brothers (v. 1), hospitality to strangers (v. 2), solidarity with prisoners and the suffering (v. 3), honor of marriage and sexual purity (v. 4), freedom from the love of money with contentment grounded in God’s presence (vv. 5–6), honor and imitation of faithful leaders (vv. 7–8), doctrinal stability over strange teachings (vv. 9–10), willingness to bear reproach outside the camp with Jesus (vv. 11–14), and the twin sacrifices of praise and practical good (vv. 15–16). The chapter closes with a call to obedience toward leaders (vv. 17–19), a remarkable benediction invoking the God of peace who raised Jesus through the blood of the eternal covenant (vv. 20–21), and personal greetings (vv. 22–25). Two theological anchors hold the chapter together: the unchanging Christ (v. 8) as the stable center around which all life is organized, and the</w:t>
      </w:r>
      <w:r>
        <w:t xml:space="preserve"> </w:t>
      </w:r>
      <w:r>
        <w:t xml:space="preserve">“outside the camp”</w:t>
      </w:r>
      <w:r>
        <w:t xml:space="preserve"> </w:t>
      </w:r>
      <w:r>
        <w:t xml:space="preserve">motif (vv. 11–13) as the defining posture of a people who have no lasting city here and seek the city that is to come (v. 14).</w:t>
      </w:r>
    </w:p>
    <w:p>
      <w:pPr>
        <w:pStyle w:val="BodyText"/>
      </w:pPr>
      <w:r>
        <w:rPr>
          <w:b/>
          <w:bCs/>
        </w:rPr>
        <w:t xml:space="preserve">This Text — Intent</w:t>
      </w:r>
    </w:p>
    <w:p>
      <w:pPr>
        <w:pStyle w:val="BodyText"/>
      </w:pPr>
      <w:r>
        <w:t xml:space="preserve">God’s intent through Hebrews 13 is to move a wavering, potentially apostatizing community from theological knowledge to embodied, costly faithfulness — and to do so by tethering every practical imperative to the theological reality of who Jesus is and what He has done. The community addressed throughout Hebrews appears tempted to retreat: back to the synagogue, back to the old covenant structures, back to social acceptability. Chapter 13 answers that temptation not by repeating the doctrinal argument but by showing what it looks like to live</w:t>
      </w:r>
      <w:r>
        <w:t xml:space="preserve"> </w:t>
      </w:r>
      <w:r>
        <w:rPr>
          <w:i/>
          <w:iCs/>
        </w:rPr>
        <w:t xml:space="preserve">as though the argument is true</w:t>
      </w:r>
      <w:r>
        <w:t xml:space="preserve">. The intent is to produce a people who are visibly different — in their community love, their sexual ethics, their economic values, their doctrinal stability, and above all their willingness to bear reproach with Jesus outside the camp. The passage’s closing benediction seals the intent: the God who raised Jesus from the dead and ratified the eternal covenant in His blood is fully capable of equipping this people to do His will. The author is not merely describing Christian virtues; he is summoning a community to a particular kind of social existence — one that embodies the logic of the new covenant in the face of cultural pressure to abandon it.</w:t>
      </w:r>
    </w:p>
    <w:p>
      <w:r>
        <w:pict>
          <v:rect style="width:0;height:1.5pt" o:hralign="center" o:hrstd="t" o:hr="t"/>
        </w:pict>
      </w:r>
    </w:p>
    <w:p>
      <w:pPr>
        <w:pStyle w:val="FirstParagraph"/>
      </w:pPr>
      <w:r>
        <w:rPr>
          <w:b/>
          <w:bCs/>
        </w:rPr>
        <w:t xml:space="preserve">Subject Sentence:</w:t>
      </w:r>
      <w:r>
        <w:t xml:space="preserve"> </w:t>
      </w:r>
      <w:r>
        <w:t xml:space="preserve">The theology of Hebrews lands in a community shaped by Christ’s unchanging sufficiency and willing to bear His reproach.</w:t>
      </w:r>
    </w:p>
    <w:p>
      <w:r>
        <w:pict>
          <v:rect style="width:0;height:1.5pt" o:hralign="center" o:hrstd="t" o:hr="t"/>
        </w:pict>
      </w:r>
    </w:p>
    <w:p>
      <w:pPr>
        <w:pStyle w:val="FirstParagraph"/>
      </w:pPr>
      <w:r>
        <w:rPr>
          <w:b/>
          <w:bCs/>
        </w:rPr>
        <w:t xml:space="preserve">Primary Claim:</w:t>
      </w:r>
      <w:r>
        <w:t xml:space="preserve"> </w:t>
      </w:r>
      <w:r>
        <w:t xml:space="preserve">Because Jesus Christ is the same yesterday, today, and forever — and because His blood has ratified an eternal covenant — God calls His people to live a visibly different kind of life, bearing reproach outside the camp and finding in Christ alone every resource they need to do so.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“Outside the Camp”</w:t>
      </w:r>
      <w:r>
        <w:rPr>
          <w:b/>
          <w:bCs/>
        </w:rPr>
        <w:t xml:space="preserve"> </w:t>
      </w:r>
      <w:r>
        <w:rPr>
          <w:b/>
          <w:bCs/>
        </w:rPr>
        <w:t xml:space="preserve">Motif (vv. 11–14)</w:t>
      </w:r>
    </w:p>
    <w:p>
      <w:pPr>
        <w:pStyle w:val="BodyText"/>
      </w:pPr>
      <w:r>
        <w:t xml:space="preserve">The central interpretive challenge of Hebrews 13 is the</w:t>
      </w:r>
      <w:r>
        <w:t xml:space="preserve"> </w:t>
      </w:r>
      <w:r>
        <w:t xml:space="preserve">“outside the camp”</w:t>
      </w:r>
      <w:r>
        <w:t xml:space="preserve"> </w:t>
      </w:r>
      <w:r>
        <w:t xml:space="preserve">passage, which requires an audience determination. The Levitical parallel is precise: the bodies of animals whose blood was brought into the Holy Place were burned outside the camp (Lev. 16:27). Jesus suffered</w:t>
      </w:r>
      <w:r>
        <w:t xml:space="preserve"> </w:t>
      </w:r>
      <w:r>
        <w:t xml:space="preserve">“outside the gate”</w:t>
      </w:r>
      <w:r>
        <w:t xml:space="preserve"> </w:t>
      </w:r>
      <w:r>
        <w:t xml:space="preserve">— outside Jerusalem, outside the bounds of the covenant community as defined by the existing religious establishment. The author’s call to</w:t>
      </w:r>
      <w:r>
        <w:t xml:space="preserve"> </w:t>
      </w:r>
      <w:r>
        <w:t xml:space="preserve">“go to him outside the camp, bearing the reproach he endured”</w:t>
      </w:r>
      <w:r>
        <w:t xml:space="preserve"> </w:t>
      </w:r>
      <w:r>
        <w:t xml:space="preserve">(v. 13) has been read in at least three ways. First, as a call to literal separation from Judaism — the recipients must break finally with the synagogue and its social protections. Second, as a universal call to countercultural Christian existence — applicable to any community tempted to avoid the social cost of following Christ. Third, as primarily an eschatological statement —</w:t>
      </w:r>
      <w:r>
        <w:t xml:space="preserve"> </w:t>
      </w:r>
      <w:r>
        <w:t xml:space="preserve">“we have no lasting city here, we seek the city that is to come”</w:t>
      </w:r>
      <w:r>
        <w:t xml:space="preserve"> </w:t>
      </w:r>
      <w:r>
        <w:t xml:space="preserve">(v. 14) means Christians hold all earthly social belonging loosely.</w:t>
      </w:r>
    </w:p>
    <w:p>
      <w:pPr>
        <w:pStyle w:val="BodyText"/>
      </w:pPr>
      <w:r>
        <w:t xml:space="preserve">The Reformed reading holds all three in view but insists they are not in competition. The literal-historical force (separation from the synagogue) is genuine and load-bearing for the original audience, but the author signals a typological and universal application in v. 14’s eschatological grounding — the reason to go outside the camp is not merely that the old system is obsolete but that</w:t>
      </w:r>
      <w:r>
        <w:t xml:space="preserve"> </w:t>
      </w:r>
      <w:r>
        <w:rPr>
          <w:i/>
          <w:iCs/>
        </w:rPr>
        <w:t xml:space="preserve">this world is not our home</w:t>
      </w:r>
      <w:r>
        <w:t xml:space="preserve">. Any community tempted to purchase social peace at the cost of Christ’s reproach faces the same summons. The Dispensational tendency to read this passage narrowly as addressed only to Jewish Christians misses the universal ecclesiological force of v. 14. The Roman Catholic tendency to redirect</w:t>
      </w:r>
      <w:r>
        <w:t xml:space="preserve"> </w:t>
      </w:r>
      <w:r>
        <w:t xml:space="preserve">“outside the camp”</w:t>
      </w:r>
      <w:r>
        <w:t xml:space="preserve"> </w:t>
      </w:r>
      <w:r>
        <w:t xml:space="preserve">toward monastic or institutional separation imposes a structure the text does not support. The Reformed reading is preferred: the passage calls the whole church in every generation to a posture of willing reproach-bearing, grounded not in sectarian identity but in eschatological orientation — we seek a city whose builder and maker is God.</w:t>
      </w:r>
    </w:p>
    <w:p>
      <w:pPr>
        <w:pStyle w:val="BodyText"/>
      </w:pPr>
      <w:r>
        <w:rPr>
          <w:b/>
          <w:bCs/>
        </w:rPr>
        <w:t xml:space="preserve">The Unchanging Christ (v. 8)</w:t>
      </w:r>
    </w:p>
    <w:p>
      <w:pPr>
        <w:pStyle w:val="BodyText"/>
      </w:pPr>
      <w:r>
        <w:t xml:space="preserve">“Jesus Christ is the same yesterday and today and forever”</w:t>
      </w:r>
      <w:r>
        <w:t xml:space="preserve"> </w:t>
      </w:r>
      <w:r>
        <w:t xml:space="preserve">is one of the most frequently decontextualized verses in Hebrews. The interpretive question is what</w:t>
      </w:r>
      <w:r>
        <w:t xml:space="preserve"> </w:t>
      </w:r>
      <w:r>
        <w:t xml:space="preserve">“the same”</w:t>
      </w:r>
      <w:r>
        <w:t xml:space="preserve"> </w:t>
      </w:r>
      <w:r>
        <w:t xml:space="preserve">means here. Charismatic and Pentecostal traditions frequently read v. 8 as a continuationist warrant — if Jesus healed and performed miracles in His earthly ministry, He continues to do so today because He does not change. This is not exegetically indefensible, but it misses the verse’s actual function in context. Verse 7 calls the community to remember their leaders and imitate their faith; v. 8 grounds the reason — the Christ their leaders proclaimed and trusted is the same Christ available now; v. 9 warns against being</w:t>
      </w:r>
      <w:r>
        <w:t xml:space="preserve"> </w:t>
      </w:r>
      <w:r>
        <w:t xml:space="preserve">“carried away by diverse and strange teachings.”</w:t>
      </w:r>
      <w:r>
        <w:t xml:space="preserve"> </w:t>
      </w:r>
      <w:r>
        <w:t xml:space="preserve">The unchangingness of Christ in context is a</w:t>
      </w:r>
      <w:r>
        <w:t xml:space="preserve"> </w:t>
      </w:r>
      <w:r>
        <w:rPr>
          <w:i/>
          <w:iCs/>
        </w:rPr>
        <w:t xml:space="preserve">doctrinal stability</w:t>
      </w:r>
      <w:r>
        <w:t xml:space="preserve"> </w:t>
      </w:r>
      <w:r>
        <w:t xml:space="preserve">warrant, not a miraculous-gifts warrant. He is the same in the sense that the gospel their faithful leaders preached has not been superseded, improved upon, or destabilized by new teachings. The Reformed reading is preferred: v. 8 is a call to doctrinal fidelity grounded in the unchanging character of the Christ the apostolic witness proclaimed.</w:t>
      </w:r>
    </w:p>
    <w:p>
      <w:pPr>
        <w:pStyle w:val="BodyText"/>
      </w:pPr>
      <w:r>
        <w:rPr>
          <w:b/>
          <w:bCs/>
        </w:rPr>
        <w:t xml:space="preserve">The Sacrifices of Hebrews 13:15–16</w:t>
      </w:r>
    </w:p>
    <w:p>
      <w:pPr>
        <w:pStyle w:val="BodyText"/>
      </w:pPr>
      <w:r>
        <w:t xml:space="preserve">A third interpretive issue concerns the</w:t>
      </w:r>
      <w:r>
        <w:t xml:space="preserve"> </w:t>
      </w:r>
      <w:r>
        <w:t xml:space="preserve">“sacrifices”</w:t>
      </w:r>
      <w:r>
        <w:t xml:space="preserve"> </w:t>
      </w:r>
      <w:r>
        <w:t xml:space="preserve">language of vv. 15–16. Roman Catholic exposition has used this passage in support of the Mass as a propitiatory sacrifice. This reading cannot survive the argument of Hebrews as a whole: chapters 9–10 establish with precision that Christ’s sacrifice was once-for-all (</w:t>
      </w:r>
      <w:r>
        <w:rPr>
          <w:i/>
          <w:iCs/>
        </w:rPr>
        <w:t xml:space="preserve">ephapax</w:t>
      </w:r>
      <w:r>
        <w:t xml:space="preserve">) and that any repetition or re-presentation of that sacrifice constitutes a fundamental misreading of its finality. The</w:t>
      </w:r>
      <w:r>
        <w:t xml:space="preserve"> </w:t>
      </w:r>
      <w:r>
        <w:t xml:space="preserve">“sacrifices”</w:t>
      </w:r>
      <w:r>
        <w:t xml:space="preserve"> </w:t>
      </w:r>
      <w:r>
        <w:t xml:space="preserve">of 13:15–16 are explicitly non-propitiatory — they are the fruit of lips that confess His name (praise) and the practical doing of good and sharing (service). These are</w:t>
      </w:r>
      <w:r>
        <w:t xml:space="preserve"> </w:t>
      </w:r>
      <w:r>
        <w:rPr>
          <w:i/>
          <w:iCs/>
        </w:rPr>
        <w:t xml:space="preserve">responsive</w:t>
      </w:r>
      <w:r>
        <w:t xml:space="preserve"> </w:t>
      </w:r>
      <w:r>
        <w:t xml:space="preserve">sacrifices, not efficacious ones. Verse 15’s phrase</w:t>
      </w:r>
      <w:r>
        <w:t xml:space="preserve"> </w:t>
      </w:r>
      <w:r>
        <w:t xml:space="preserve">“through him”</w:t>
      </w:r>
      <w:r>
        <w:t xml:space="preserve"> </w:t>
      </w:r>
      <w:r>
        <w:t xml:space="preserve">(</w:t>
      </w:r>
      <w:r>
        <w:rPr>
          <w:i/>
          <w:iCs/>
        </w:rPr>
        <w:t xml:space="preserve">di’ autou</w:t>
      </w:r>
      <w:r>
        <w:t xml:space="preserve">) is crucial: these sacrifices are acceptable only because Christ’s sacrifice has already been made and accepted. The Reformed reading is unambiguous: the sacrifices of vv. 15–16 are the fitting response of a community whose atonement has already been fully accomplished. There is nothing to add.</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Leviticus 16:27</w:t>
      </w:r>
      <w:r>
        <w:t xml:space="preserve"> </w:t>
      </w:r>
      <w:r>
        <w:t xml:space="preserve">— The Levitical precedent for the</w:t>
      </w:r>
      <w:r>
        <w:t xml:space="preserve"> </w:t>
      </w:r>
      <w:r>
        <w:t xml:space="preserve">“outside the camp”</w:t>
      </w:r>
      <w:r>
        <w:t xml:space="preserve"> </w:t>
      </w:r>
      <w:r>
        <w:t xml:space="preserve">motif: the bodies of the sin offerings burned outside establish the typological pattern Christ fulfills and the church follows.</w:t>
      </w:r>
    </w:p>
    <w:p>
      <w:pPr>
        <w:pStyle w:val="Compact"/>
        <w:numPr>
          <w:ilvl w:val="0"/>
          <w:numId w:val="1001"/>
        </w:numPr>
      </w:pPr>
      <w:r>
        <w:rPr>
          <w:b/>
          <w:bCs/>
        </w:rPr>
        <w:t xml:space="preserve">Romans 12:1–2</w:t>
      </w:r>
      <w:r>
        <w:t xml:space="preserve"> </w:t>
      </w:r>
      <w:r>
        <w:t xml:space="preserve">— Paul’s</w:t>
      </w:r>
      <w:r>
        <w:t xml:space="preserve"> </w:t>
      </w:r>
      <w:r>
        <w:t xml:space="preserve">“living sacrifice”</w:t>
      </w:r>
      <w:r>
        <w:t xml:space="preserve"> </w:t>
      </w:r>
      <w:r>
        <w:t xml:space="preserve">language provides the closest canonical parallel to Hebrews 13:15–16’s call to praise and practical good as the fitting response to grace; both passages move from extended doctrinal argument to embodied community ethics.</w:t>
      </w:r>
    </w:p>
    <w:p>
      <w:pPr>
        <w:pStyle w:val="Compact"/>
        <w:numPr>
          <w:ilvl w:val="0"/>
          <w:numId w:val="1001"/>
        </w:numPr>
      </w:pPr>
      <w:r>
        <w:rPr>
          <w:b/>
          <w:bCs/>
        </w:rPr>
        <w:t xml:space="preserve">Philippians 4:11–13</w:t>
      </w:r>
      <w:r>
        <w:t xml:space="preserve"> </w:t>
      </w:r>
      <w:r>
        <w:t xml:space="preserve">— The contentment grounded in Christ’s strengthening (Phil. 4:13) is the precise NT parallel to Hebrews 13:5–6’s contentment grounded in God’s promise never to leave or forsake; both passages diagnose the love of money as a failure of theological confidence.</w:t>
      </w:r>
    </w:p>
    <w:p>
      <w:pPr>
        <w:pStyle w:val="Compact"/>
        <w:numPr>
          <w:ilvl w:val="0"/>
          <w:numId w:val="1001"/>
        </w:numPr>
      </w:pPr>
      <w:r>
        <w:rPr>
          <w:b/>
          <w:bCs/>
        </w:rPr>
        <w:t xml:space="preserve">1 Peter 2:11–12</w:t>
      </w:r>
      <w:r>
        <w:t xml:space="preserve"> </w:t>
      </w:r>
      <w:r>
        <w:t xml:space="preserve">— Peter’s description of the church as</w:t>
      </w:r>
      <w:r>
        <w:t xml:space="preserve"> </w:t>
      </w:r>
      <w:r>
        <w:t xml:space="preserve">“sojourners and exiles”</w:t>
      </w:r>
      <w:r>
        <w:t xml:space="preserve"> </w:t>
      </w:r>
      <w:r>
        <w:t xml:space="preserve">who maintain honorable conduct among the Gentiles is the closest canonical parallel to Hebrews 13:14’s</w:t>
      </w:r>
      <w:r>
        <w:t xml:space="preserve"> </w:t>
      </w:r>
      <w:r>
        <w:t xml:space="preserve">“no lasting city here”</w:t>
      </w:r>
      <w:r>
        <w:t xml:space="preserve">; both passages ground community ethics in eschatological identity.</w:t>
      </w:r>
    </w:p>
    <w:p>
      <w:pPr>
        <w:pStyle w:val="Compact"/>
        <w:numPr>
          <w:ilvl w:val="0"/>
          <w:numId w:val="1001"/>
        </w:numPr>
      </w:pPr>
      <w:r>
        <w:rPr>
          <w:b/>
          <w:bCs/>
        </w:rPr>
        <w:t xml:space="preserve">Numbers 6:24–26 / 2 Corinthians 13:14</w:t>
      </w:r>
      <w:r>
        <w:t xml:space="preserve"> </w:t>
      </w:r>
      <w:r>
        <w:t xml:space="preserve">— The benediction of Hebrews 13:20–21 stands in the line of great biblical benedictions; it uniquely combines resurrection, the blood of the eternal covenant, and the God of peace — grounding every practical imperative in the completed work of Christ and God’s unbreakable shalom.</w:t>
      </w:r>
    </w:p>
    <w:p>
      <w:r>
        <w:pict>
          <v:rect style="width:0;height:1.5pt" o:hralign="center" o:hrstd="t" o:hr="t"/>
        </w:pict>
      </w:r>
    </w:p>
    <w:p>
      <w:pPr>
        <w:pStyle w:val="FirstParagraph"/>
      </w:pPr>
      <w:r>
        <w:rPr>
          <w:b/>
          <w:bCs/>
        </w:rPr>
        <w:t xml:space="preserve">Aim:</w:t>
      </w:r>
      <w:r>
        <w:t xml:space="preserve"> </w:t>
      </w:r>
      <w:r>
        <w:t xml:space="preserve">To demonstrate that the theology of Hebrews is not merely believed but inhabited — that the community shaped by the once-for-all sacrifice of the unchanging Christ will live visibly differently in its loves, its economics, its sexual ethics, its doctrinal stability, and its willingness to bear reproach.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13:1</w:t>
            </w:r>
          </w:p>
        </w:tc>
        <w:tc>
          <w:tcPr/>
          <w:p>
            <w:pPr>
              <w:pStyle w:val="Compact"/>
            </w:pPr>
            <w:r>
              <w:t xml:space="preserve">“Let brotherly love continue”</w:t>
            </w:r>
            <w:r>
              <w:t xml:space="preserve"> </w:t>
            </w:r>
            <w:r>
              <w:t xml:space="preserve">— sustain the community’s mutual affection</w:t>
            </w:r>
          </w:p>
        </w:tc>
        <w:tc>
          <w:tcPr/>
          <w:p>
            <w:pPr>
              <w:pStyle w:val="Compact"/>
            </w:pPr>
            <w:r>
              <w:rPr>
                <w:i/>
                <w:iCs/>
              </w:rPr>
              <w:t xml:space="preserve">Philadelphia</w:t>
            </w:r>
            <w:r>
              <w:t xml:space="preserve"> </w:t>
            </w:r>
            <w:r>
              <w:t xml:space="preserve">— familial love; present imperative, continue what already exists</w:t>
            </w:r>
          </w:p>
        </w:tc>
      </w:tr>
      <w:tr>
        <w:tc>
          <w:tcPr/>
          <w:p>
            <w:pPr>
              <w:pStyle w:val="Compact"/>
            </w:pPr>
            <w:r>
              <w:t xml:space="preserve">13:2</w:t>
            </w:r>
          </w:p>
        </w:tc>
        <w:tc>
          <w:tcPr/>
          <w:p>
            <w:pPr>
              <w:pStyle w:val="Compact"/>
            </w:pPr>
            <w:r>
              <w:t xml:space="preserve">Show hospitality to strangers — some have entertained angels unawares</w:t>
            </w:r>
          </w:p>
        </w:tc>
        <w:tc>
          <w:tcPr/>
          <w:p>
            <w:pPr>
              <w:pStyle w:val="Compact"/>
            </w:pPr>
            <w:r>
              <w:t xml:space="preserve">OT allusion (Gen. 18–19; Judg. 13); hospitality as potentially sacred encounter</w:t>
            </w:r>
          </w:p>
        </w:tc>
      </w:tr>
      <w:tr>
        <w:tc>
          <w:tcPr/>
          <w:p>
            <w:pPr>
              <w:pStyle w:val="Compact"/>
            </w:pPr>
            <w:r>
              <w:t xml:space="preserve">13:3</w:t>
            </w:r>
          </w:p>
        </w:tc>
        <w:tc>
          <w:tcPr/>
          <w:p>
            <w:pPr>
              <w:pStyle w:val="Compact"/>
            </w:pPr>
            <w:r>
              <w:t xml:space="preserve">Remember prisoners and the suffering as though you yourselves were suffering</w:t>
            </w:r>
          </w:p>
        </w:tc>
        <w:tc>
          <w:tcPr/>
          <w:p>
            <w:pPr>
              <w:pStyle w:val="Compact"/>
            </w:pPr>
            <w:r>
              <w:t xml:space="preserve">Solidarity imperative; likely refers to imprisoned believers;</w:t>
            </w:r>
            <w:r>
              <w:t xml:space="preserve"> </w:t>
            </w:r>
            <w:r>
              <w:t xml:space="preserve">“as though in the body”</w:t>
            </w:r>
            <w:r>
              <w:t xml:space="preserve"> </w:t>
            </w:r>
            <w:r>
              <w:t xml:space="preserve">= embodied empathy</w:t>
            </w:r>
          </w:p>
        </w:tc>
      </w:tr>
      <w:tr>
        <w:tc>
          <w:tcPr/>
          <w:p>
            <w:pPr>
              <w:pStyle w:val="Compact"/>
            </w:pPr>
            <w:r>
              <w:t xml:space="preserve">13:4</w:t>
            </w:r>
          </w:p>
        </w:tc>
        <w:tc>
          <w:tcPr/>
          <w:p>
            <w:pPr>
              <w:pStyle w:val="Compact"/>
            </w:pPr>
            <w:r>
              <w:t xml:space="preserve">Let marriage be held in honor; God will judge the sexually immoral and adulterous</w:t>
            </w:r>
          </w:p>
        </w:tc>
        <w:tc>
          <w:tcPr/>
          <w:p>
            <w:pPr>
              <w:pStyle w:val="Compact"/>
            </w:pPr>
            <w:r>
              <w:t xml:space="preserve">Honor (</w:t>
            </w:r>
            <w:r>
              <w:rPr>
                <w:i/>
                <w:iCs/>
              </w:rPr>
              <w:t xml:space="preserve">timios</w:t>
            </w:r>
            <w:r>
              <w:t xml:space="preserve">) = treated as precious; both purity inside and outside marriage in view</w:t>
            </w:r>
          </w:p>
        </w:tc>
      </w:tr>
      <w:tr>
        <w:tc>
          <w:tcPr/>
          <w:p>
            <w:pPr>
              <w:pStyle w:val="Compact"/>
            </w:pPr>
            <w:r>
              <w:t xml:space="preserve">13:5–6</w:t>
            </w:r>
          </w:p>
        </w:tc>
        <w:tc>
          <w:tcPr/>
          <w:p>
            <w:pPr>
              <w:pStyle w:val="Compact"/>
            </w:pPr>
            <w:r>
              <w:t xml:space="preserve">Keep life free from love of money; be content; God will never leave or forsake; the Lord is my helper — what can man do?</w:t>
            </w:r>
          </w:p>
        </w:tc>
        <w:tc>
          <w:tcPr/>
          <w:p>
            <w:pPr>
              <w:pStyle w:val="Compact"/>
            </w:pPr>
            <w:r>
              <w:t xml:space="preserve">Grounded contentment: not mere stoicism but theological confidence; Deut. 31:6; Ps. 118:6 quoted</w:t>
            </w:r>
          </w:p>
        </w:tc>
      </w:tr>
      <w:tr>
        <w:tc>
          <w:tcPr/>
          <w:p>
            <w:pPr>
              <w:pStyle w:val="Compact"/>
            </w:pPr>
            <w:r>
              <w:t xml:space="preserve">13:7</w:t>
            </w:r>
          </w:p>
        </w:tc>
        <w:tc>
          <w:tcPr/>
          <w:p>
            <w:pPr>
              <w:pStyle w:val="Compact"/>
            </w:pPr>
            <w:r>
              <w:t xml:space="preserve">Remember your leaders who spoke the word; consider the outcome of their way of life; imitate their faith</w:t>
            </w:r>
          </w:p>
        </w:tc>
        <w:tc>
          <w:tcPr/>
          <w:p>
            <w:pPr>
              <w:pStyle w:val="Compact"/>
            </w:pPr>
            <w:r>
              <w:t xml:space="preserve">Past leaders (likely deceased or martyred); faith substantiated by outcome (</w:t>
            </w:r>
            <w:r>
              <w:rPr>
                <w:i/>
                <w:iCs/>
              </w:rPr>
              <w:t xml:space="preserve">ekbasis</w:t>
            </w:r>
            <w:r>
              <w:t xml:space="preserve"> </w:t>
            </w:r>
            <w:r>
              <w:t xml:space="preserve">= end, result)</w:t>
            </w:r>
          </w:p>
        </w:tc>
      </w:tr>
      <w:tr>
        <w:tc>
          <w:tcPr/>
          <w:p>
            <w:pPr>
              <w:pStyle w:val="Compact"/>
            </w:pPr>
            <w:r>
              <w:t xml:space="preserve">13:8</w:t>
            </w:r>
          </w:p>
        </w:tc>
        <w:tc>
          <w:tcPr/>
          <w:p>
            <w:pPr>
              <w:pStyle w:val="Compact"/>
            </w:pPr>
            <w:r>
              <w:t xml:space="preserve">Jesus Christ is the same yesterday, today, and forever</w:t>
            </w:r>
          </w:p>
        </w:tc>
        <w:tc>
          <w:tcPr/>
          <w:p>
            <w:pPr>
              <w:pStyle w:val="Compact"/>
            </w:pPr>
            <w:r>
              <w:t xml:space="preserve">Doctrinal anchor between v. 7 (past leaders’ Christ) and v. 9 (strange teachings); not a standalone axiom</w:t>
            </w:r>
          </w:p>
        </w:tc>
      </w:tr>
      <w:tr>
        <w:tc>
          <w:tcPr/>
          <w:p>
            <w:pPr>
              <w:pStyle w:val="Compact"/>
            </w:pPr>
            <w:r>
              <w:t xml:space="preserve">13:9</w:t>
            </w:r>
          </w:p>
        </w:tc>
        <w:tc>
          <w:tcPr/>
          <w:p>
            <w:pPr>
              <w:pStyle w:val="Compact"/>
            </w:pPr>
            <w:r>
              <w:t xml:space="preserve">Do not be led away by diverse and strange teachings; grace strengthens the heart, not foods</w:t>
            </w:r>
          </w:p>
        </w:tc>
        <w:tc>
          <w:tcPr/>
          <w:p>
            <w:pPr>
              <w:pStyle w:val="Compact"/>
            </w:pPr>
            <w:r>
              <w:t xml:space="preserve">Ritual food regulations (</w:t>
            </w:r>
            <w:r>
              <w:rPr>
                <w:i/>
                <w:iCs/>
              </w:rPr>
              <w:t xml:space="preserve">bromatōn</w:t>
            </w:r>
            <w:r>
              <w:t xml:space="preserve">) = likely Jewish dietary laws or proto-Gnostic food asceticism</w:t>
            </w:r>
          </w:p>
        </w:tc>
      </w:tr>
      <w:tr>
        <w:tc>
          <w:tcPr/>
          <w:p>
            <w:pPr>
              <w:pStyle w:val="Compact"/>
            </w:pPr>
            <w:r>
              <w:t xml:space="preserve">13:10–11</w:t>
            </w:r>
          </w:p>
        </w:tc>
        <w:tc>
          <w:tcPr/>
          <w:p>
            <w:pPr>
              <w:pStyle w:val="Compact"/>
            </w:pPr>
            <w:r>
              <w:t xml:space="preserve">We have an altar from which those who serve the tabernacle have no right to eat; the sin offering bodies are burned outside the camp</w:t>
            </w:r>
          </w:p>
        </w:tc>
        <w:tc>
          <w:tcPr/>
          <w:p>
            <w:pPr>
              <w:pStyle w:val="Compact"/>
            </w:pPr>
            <w:r>
              <w:t xml:space="preserve">The new covenant altar (Christ’s cross) cannot be accessed on old covenant terms; Lev. 16:27 typology</w:t>
            </w:r>
          </w:p>
        </w:tc>
      </w:tr>
      <w:tr>
        <w:tc>
          <w:tcPr/>
          <w:p>
            <w:pPr>
              <w:pStyle w:val="Compact"/>
            </w:pPr>
            <w:r>
              <w:t xml:space="preserve">13:12</w:t>
            </w:r>
          </w:p>
        </w:tc>
        <w:tc>
          <w:tcPr/>
          <w:p>
            <w:pPr>
              <w:pStyle w:val="Compact"/>
            </w:pPr>
            <w:r>
              <w:t xml:space="preserve">Jesus suffered outside the gate to sanctify the people through his own blood</w:t>
            </w:r>
          </w:p>
        </w:tc>
        <w:tc>
          <w:tcPr/>
          <w:p>
            <w:pPr>
              <w:pStyle w:val="Compact"/>
            </w:pPr>
            <w:r>
              <w:t xml:space="preserve">The antitype is identified: Christ’s death outside Jerusalem fulfills and supersedes the Levitical type</w:t>
            </w:r>
          </w:p>
        </w:tc>
      </w:tr>
      <w:tr>
        <w:tc>
          <w:tcPr/>
          <w:p>
            <w:pPr>
              <w:pStyle w:val="Compact"/>
            </w:pPr>
            <w:r>
              <w:t xml:space="preserve">13:13</w:t>
            </w:r>
          </w:p>
        </w:tc>
        <w:tc>
          <w:tcPr/>
          <w:p>
            <w:pPr>
              <w:pStyle w:val="Compact"/>
            </w:pPr>
            <w:r>
              <w:t xml:space="preserve">Let us go to him outside the camp, bearing the reproach he endured</w:t>
            </w:r>
          </w:p>
        </w:tc>
        <w:tc>
          <w:tcPr/>
          <w:p>
            <w:pPr>
              <w:pStyle w:val="Compact"/>
            </w:pPr>
            <w:r>
              <w:t xml:space="preserve">Direct application to the community: willing social and religious marginalization with Christ</w:t>
            </w:r>
          </w:p>
        </w:tc>
      </w:tr>
      <w:tr>
        <w:tc>
          <w:tcPr/>
          <w:p>
            <w:pPr>
              <w:pStyle w:val="Compact"/>
            </w:pPr>
            <w:r>
              <w:t xml:space="preserve">13:14</w:t>
            </w:r>
          </w:p>
        </w:tc>
        <w:tc>
          <w:tcPr/>
          <w:p>
            <w:pPr>
              <w:pStyle w:val="Compact"/>
            </w:pPr>
            <w:r>
              <w:t xml:space="preserve">For here we have no lasting city; we seek the city that is to come</w:t>
            </w:r>
          </w:p>
        </w:tc>
        <w:tc>
          <w:tcPr/>
          <w:p>
            <w:pPr>
              <w:pStyle w:val="Compact"/>
            </w:pPr>
            <w:r>
              <w:t xml:space="preserve">Eschatological grounding of v. 13; the reason to go outside the camp is our ultimate citizenship elsewhere</w:t>
            </w:r>
          </w:p>
        </w:tc>
      </w:tr>
      <w:tr>
        <w:tc>
          <w:tcPr/>
          <w:p>
            <w:pPr>
              <w:pStyle w:val="Compact"/>
            </w:pPr>
            <w:r>
              <w:t xml:space="preserve">13:15</w:t>
            </w:r>
          </w:p>
        </w:tc>
        <w:tc>
          <w:tcPr/>
          <w:p>
            <w:pPr>
              <w:pStyle w:val="Compact"/>
            </w:pPr>
            <w:r>
              <w:t xml:space="preserve">Through him let us continually offer a sacrifice of praise — fruit of lips that acknowledge his name</w:t>
            </w:r>
          </w:p>
        </w:tc>
        <w:tc>
          <w:tcPr/>
          <w:p>
            <w:pPr>
              <w:pStyle w:val="Compact"/>
            </w:pPr>
            <w:r>
              <w:t xml:space="preserve">Responsive, non-propitiatory sacrifice;</w:t>
            </w:r>
            <w:r>
              <w:t xml:space="preserve"> </w:t>
            </w:r>
            <w:r>
              <w:t xml:space="preserve">“continually”</w:t>
            </w:r>
            <w:r>
              <w:t xml:space="preserve"> </w:t>
            </w:r>
            <w:r>
              <w:t xml:space="preserve">(</w:t>
            </w:r>
            <w:r>
              <w:rPr>
                <w:i/>
                <w:iCs/>
              </w:rPr>
              <w:t xml:space="preserve">dia pantos</w:t>
            </w:r>
            <w:r>
              <w:t xml:space="preserve">) = ongoing posture, not ritual occasion</w:t>
            </w:r>
          </w:p>
        </w:tc>
      </w:tr>
      <w:tr>
        <w:tc>
          <w:tcPr/>
          <w:p>
            <w:pPr>
              <w:pStyle w:val="Compact"/>
            </w:pPr>
            <w:r>
              <w:t xml:space="preserve">13:16</w:t>
            </w:r>
          </w:p>
        </w:tc>
        <w:tc>
          <w:tcPr/>
          <w:p>
            <w:pPr>
              <w:pStyle w:val="Compact"/>
            </w:pPr>
            <w:r>
              <w:t xml:space="preserve">Do not neglect to do good and to share; such sacrifices are pleasing to God</w:t>
            </w:r>
          </w:p>
        </w:tc>
        <w:tc>
          <w:tcPr/>
          <w:p>
            <w:pPr>
              <w:pStyle w:val="Compact"/>
            </w:pPr>
            <w:r>
              <w:t xml:space="preserve">Practical generosity as co-equal sacrifice with praise; not subordinate to worship but integral to it</w:t>
            </w:r>
          </w:p>
        </w:tc>
      </w:tr>
      <w:tr>
        <w:tc>
          <w:tcPr/>
          <w:p>
            <w:pPr>
              <w:pStyle w:val="Compact"/>
            </w:pPr>
            <w:r>
              <w:t xml:space="preserve">13:17</w:t>
            </w:r>
          </w:p>
        </w:tc>
        <w:tc>
          <w:tcPr/>
          <w:p>
            <w:pPr>
              <w:pStyle w:val="Compact"/>
            </w:pPr>
            <w:r>
              <w:t xml:space="preserve">Obey your leaders and submit to them; they keep watch over your souls and will give account</w:t>
            </w:r>
          </w:p>
        </w:tc>
        <w:tc>
          <w:tcPr/>
          <w:p>
            <w:pPr>
              <w:pStyle w:val="Compact"/>
            </w:pPr>
            <w:r>
              <w:t xml:space="preserve">Present leaders (contrast v. 7’s past leaders); accountability as the basis for submission</w:t>
            </w:r>
          </w:p>
        </w:tc>
      </w:tr>
      <w:tr>
        <w:tc>
          <w:tcPr/>
          <w:p>
            <w:pPr>
              <w:pStyle w:val="Compact"/>
            </w:pPr>
            <w:r>
              <w:t xml:space="preserve">13:18–19</w:t>
            </w:r>
          </w:p>
        </w:tc>
        <w:tc>
          <w:tcPr/>
          <w:p>
            <w:pPr>
              <w:pStyle w:val="Compact"/>
            </w:pPr>
            <w:r>
              <w:t xml:space="preserve">Pray for us; we are sure we have a clear conscience; restore me to you soon</w:t>
            </w:r>
          </w:p>
        </w:tc>
        <w:tc>
          <w:tcPr/>
          <w:p>
            <w:pPr>
              <w:pStyle w:val="Compact"/>
            </w:pPr>
            <w:r>
              <w:t xml:space="preserve">Personal disclosure; author places himself under the community’s intercession</w:t>
            </w:r>
          </w:p>
        </w:tc>
      </w:tr>
      <w:tr>
        <w:tc>
          <w:tcPr/>
          <w:p>
            <w:pPr>
              <w:pStyle w:val="Compact"/>
            </w:pPr>
            <w:r>
              <w:t xml:space="preserve">13:20–21</w:t>
            </w:r>
          </w:p>
        </w:tc>
        <w:tc>
          <w:tcPr/>
          <w:p>
            <w:pPr>
              <w:pStyle w:val="Compact"/>
            </w:pPr>
            <w:r>
              <w:t xml:space="preserve">Benediction: the God of peace who raised Jesus from the dead through the blood of the eternal covenant equip you with everything good to do his will</w:t>
            </w:r>
          </w:p>
        </w:tc>
        <w:tc>
          <w:tcPr/>
          <w:p>
            <w:pPr>
              <w:pStyle w:val="Compact"/>
            </w:pPr>
            <w:r>
              <w:t xml:space="preserve">The most theologically dense benediction in the NT; resurrection + eternal covenant + equipping as a unified doxological act</w:t>
            </w:r>
          </w:p>
        </w:tc>
      </w:tr>
      <w:tr>
        <w:tc>
          <w:tcPr/>
          <w:p>
            <w:pPr>
              <w:pStyle w:val="Compact"/>
            </w:pPr>
            <w:r>
              <w:t xml:space="preserve">13:22–25</w:t>
            </w:r>
          </w:p>
        </w:tc>
        <w:tc>
          <w:tcPr/>
          <w:p>
            <w:pPr>
              <w:pStyle w:val="Compact"/>
            </w:pPr>
            <w:r>
              <w:t xml:space="preserve">Exhortation to bear the word of exhortation; Timothy’s release announced; greetings; grace to all</w:t>
            </w:r>
          </w:p>
        </w:tc>
        <w:tc>
          <w:tcPr/>
          <w:p>
            <w:pPr>
              <w:pStyle w:val="Compact"/>
            </w:pPr>
            <w:r>
              <w:t xml:space="preserve">Epistolary close;</w:t>
            </w:r>
            <w:r>
              <w:t xml:space="preserve"> </w:t>
            </w:r>
            <w:r>
              <w:t xml:space="preserve">“word of exhortation”</w:t>
            </w:r>
            <w:r>
              <w:t xml:space="preserve"> </w:t>
            </w:r>
            <w:r>
              <w:t xml:space="preserve">(</w:t>
            </w:r>
            <w:r>
              <w:rPr>
                <w:i/>
                <w:iCs/>
              </w:rPr>
              <w:t xml:space="preserve">logos paraklēseōs</w:t>
            </w:r>
            <w:r>
              <w:t xml:space="preserve">) = the author’s self-description of the whole letter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13:1–6</w:t>
            </w:r>
          </w:p>
        </w:tc>
        <w:tc>
          <w:tcPr/>
          <w:p>
            <w:pPr>
              <w:pStyle w:val="Compact"/>
            </w:pPr>
            <w:r>
              <w:t xml:space="preserve">Community Ethics Grounded in Theological Confidence</w:t>
            </w:r>
          </w:p>
        </w:tc>
      </w:tr>
      <w:tr>
        <w:tc>
          <w:tcPr/>
          <w:p>
            <w:pPr>
              <w:pStyle w:val="Compact"/>
            </w:pPr>
            <w:r>
              <w:t xml:space="preserve">2</w:t>
            </w:r>
          </w:p>
        </w:tc>
        <w:tc>
          <w:tcPr/>
          <w:p>
            <w:pPr>
              <w:pStyle w:val="Compact"/>
            </w:pPr>
            <w:r>
              <w:t xml:space="preserve">13:7–14</w:t>
            </w:r>
          </w:p>
        </w:tc>
        <w:tc>
          <w:tcPr/>
          <w:p>
            <w:pPr>
              <w:pStyle w:val="Compact"/>
            </w:pPr>
            <w:r>
              <w:t xml:space="preserve">Doctrinal Stability and the Reproach of the Unchanging Christ</w:t>
            </w:r>
          </w:p>
        </w:tc>
      </w:tr>
      <w:tr>
        <w:tc>
          <w:tcPr/>
          <w:p>
            <w:pPr>
              <w:pStyle w:val="Compact"/>
            </w:pPr>
            <w:r>
              <w:t xml:space="preserve">3</w:t>
            </w:r>
          </w:p>
        </w:tc>
        <w:tc>
          <w:tcPr/>
          <w:p>
            <w:pPr>
              <w:pStyle w:val="Compact"/>
            </w:pPr>
            <w:r>
              <w:t xml:space="preserve">13:15–16</w:t>
            </w:r>
          </w:p>
        </w:tc>
        <w:tc>
          <w:tcPr/>
          <w:p>
            <w:pPr>
              <w:pStyle w:val="Compact"/>
            </w:pPr>
            <w:r>
              <w:t xml:space="preserve">The Sacrifices That Remain: Praise and Practical Good</w:t>
            </w:r>
          </w:p>
        </w:tc>
      </w:tr>
      <w:tr>
        <w:tc>
          <w:tcPr/>
          <w:p>
            <w:pPr>
              <w:pStyle w:val="Compact"/>
            </w:pPr>
            <w:r>
              <w:t xml:space="preserve">4</w:t>
            </w:r>
          </w:p>
        </w:tc>
        <w:tc>
          <w:tcPr/>
          <w:p>
            <w:pPr>
              <w:pStyle w:val="Compact"/>
            </w:pPr>
            <w:r>
              <w:t xml:space="preserve">13:17–19</w:t>
            </w:r>
          </w:p>
        </w:tc>
        <w:tc>
          <w:tcPr/>
          <w:p>
            <w:pPr>
              <w:pStyle w:val="Compact"/>
            </w:pPr>
            <w:r>
              <w:t xml:space="preserve">Leadership, Accountability, and Mutual Intercession</w:t>
            </w:r>
          </w:p>
        </w:tc>
      </w:tr>
      <w:tr>
        <w:tc>
          <w:tcPr/>
          <w:p>
            <w:pPr>
              <w:pStyle w:val="Compact"/>
            </w:pPr>
            <w:r>
              <w:t xml:space="preserve">5</w:t>
            </w:r>
          </w:p>
        </w:tc>
        <w:tc>
          <w:tcPr/>
          <w:p>
            <w:pPr>
              <w:pStyle w:val="Compact"/>
            </w:pPr>
            <w:r>
              <w:t xml:space="preserve">13:20–21</w:t>
            </w:r>
          </w:p>
        </w:tc>
        <w:tc>
          <w:tcPr/>
          <w:p>
            <w:pPr>
              <w:pStyle w:val="Compact"/>
            </w:pPr>
            <w:r>
              <w:t xml:space="preserve">The Benediction: Every Imperative Grounded in the Eternal Covenant</w:t>
            </w:r>
          </w:p>
        </w:tc>
      </w:tr>
      <w:tr>
        <w:tc>
          <w:tcPr/>
          <w:p>
            <w:pPr>
              <w:pStyle w:val="Compact"/>
            </w:pPr>
            <w:r>
              <w:t xml:space="preserve">6</w:t>
            </w:r>
          </w:p>
        </w:tc>
        <w:tc>
          <w:tcPr/>
          <w:p>
            <w:pPr>
              <w:pStyle w:val="Compact"/>
            </w:pPr>
            <w:r>
              <w:t xml:space="preserve">13:22–25</w:t>
            </w:r>
          </w:p>
        </w:tc>
        <w:tc>
          <w:tcPr/>
          <w:p>
            <w:pPr>
              <w:pStyle w:val="Compact"/>
            </w:pPr>
            <w:r>
              <w:t xml:space="preserve">Epistolary Closing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theology of Hebrews lands in a community shaped by Christ’s unchanging sufficiency and willing to bear His reproach.</w:t>
      </w:r>
    </w:p>
    <w:p>
      <w:pPr>
        <w:pStyle w:val="BodyText"/>
      </w:pPr>
      <w:r>
        <w:rPr>
          <w:b/>
          <w:bCs/>
        </w:rPr>
        <w:t xml:space="preserve">Primary Claim:</w:t>
      </w:r>
      <w:r>
        <w:t xml:space="preserve"> </w:t>
      </w:r>
      <w:r>
        <w:t xml:space="preserve">Because Jesus Christ is the same yesterday, today, and forever — and because His blood has ratified an eternal covenant — God calls His people to live a visibly different kind of life, bearing reproach outside the camp and finding in Christ alone every resource they need to do so.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Recognize that the imperatives of Hebrews 13 are not a separate agenda from the theology of Hebrews 1–12 — they are that theology with its shoes on.</w:t>
      </w:r>
    </w:p>
    <w:p>
      <w:pPr>
        <w:pStyle w:val="BodyText"/>
      </w:pPr>
      <w:r>
        <w:t xml:space="preserve">Every command in this chapter is tethered to a theological anchor. Contentment is not a personality trait; it rests on</w:t>
      </w:r>
      <w:r>
        <w:t xml:space="preserve"> </w:t>
      </w:r>
      <w:r>
        <w:t xml:space="preserve">“I will never leave you nor forsake you”</w:t>
      </w:r>
      <w:r>
        <w:t xml:space="preserve"> </w:t>
      </w:r>
      <w:r>
        <w:t xml:space="preserve">(v. 5). The willingness to go outside the camp is not countercultural bravado; it rests on the fact that</w:t>
      </w:r>
      <w:r>
        <w:t xml:space="preserve"> </w:t>
      </w:r>
      <w:r>
        <w:t xml:space="preserve">“here we have no lasting city”</w:t>
      </w:r>
      <w:r>
        <w:t xml:space="preserve"> </w:t>
      </w:r>
      <w:r>
        <w:t xml:space="preserve">(v. 14). The call to praise and generosity is not duty; it flows</w:t>
      </w:r>
      <w:r>
        <w:t xml:space="preserve"> </w:t>
      </w:r>
      <w:r>
        <w:t xml:space="preserve">“through him”</w:t>
      </w:r>
      <w:r>
        <w:t xml:space="preserve"> </w:t>
      </w:r>
      <w:r>
        <w:t xml:space="preserve">— through the one who has already made the only sacrifice that needed making (v. 15). Before attempting to obey this chapter, the congregation needs to see that every imperative is</w:t>
      </w:r>
      <w:r>
        <w:t xml:space="preserve"> </w:t>
      </w:r>
      <w:r>
        <w:rPr>
          <w:i/>
          <w:iCs/>
        </w:rPr>
        <w:t xml:space="preserve">because of something true</w:t>
      </w:r>
      <w:r>
        <w:t xml:space="preserve"> </w:t>
      </w:r>
      <w:r>
        <w:t xml:space="preserve">— and that thing true is the gospel of the eternal covenant ratified in Jesus’ blood. Preach the chapter from its anchors, not its imperatives. The imperatives will follow.</w:t>
      </w:r>
    </w:p>
    <w:p>
      <w:pPr>
        <w:pStyle w:val="BodyText"/>
      </w:pPr>
      <w:r>
        <w:rPr>
          <w:b/>
          <w:bCs/>
        </w:rPr>
        <w:t xml:space="preserve">2.</w:t>
      </w:r>
      <w:r>
        <w:rPr>
          <w:b/>
          <w:bCs/>
        </w:rPr>
        <w:t xml:space="preserve"> </w:t>
      </w:r>
      <w:r>
        <w:rPr>
          <w:b/>
          <w:bCs/>
          <w:i/>
          <w:iCs/>
        </w:rPr>
        <w:t xml:space="preserve">(Will/Behavior)</w:t>
      </w:r>
      <w:r>
        <w:rPr>
          <w:b/>
          <w:bCs/>
        </w:rPr>
        <w:t xml:space="preserve"> </w:t>
      </w:r>
      <w:r>
        <w:rPr>
          <w:b/>
          <w:bCs/>
        </w:rPr>
        <w:t xml:space="preserve">Identify specifically what</w:t>
      </w:r>
      <w:r>
        <w:rPr>
          <w:b/>
          <w:bCs/>
        </w:rPr>
        <w:t xml:space="preserve"> </w:t>
      </w:r>
      <w:r>
        <w:rPr>
          <w:b/>
          <w:bCs/>
        </w:rPr>
        <w:t xml:space="preserve">“going outside the camp”</w:t>
      </w:r>
      <w:r>
        <w:rPr>
          <w:b/>
          <w:bCs/>
        </w:rPr>
        <w:t xml:space="preserve"> </w:t>
      </w:r>
      <w:r>
        <w:rPr>
          <w:b/>
          <w:bCs/>
        </w:rPr>
        <w:t xml:space="preserve">costs you in your context — and go.</w:t>
      </w:r>
    </w:p>
    <w:p>
      <w:pPr>
        <w:pStyle w:val="BodyText"/>
      </w:pPr>
      <w:r>
        <w:t xml:space="preserve">This is not a metaphor to admire from a safe distance. The original community faced concrete social and economic loss in separating from the synagogue and its protections. Your congregation faces its own version: the professional relationship compromised by honesty about Christ, the family gathering made uncomfortable by a refusal to go along, the neighborhood group that no longer invites the couple who won’t participate in certain things, the online community that turns hostile when Jesus is named plainly. The author does not call the community to theoretical reproach-bearing willingness; he calls them to move —</w:t>
      </w:r>
      <w:r>
        <w:t xml:space="preserve"> </w:t>
      </w:r>
      <w:r>
        <w:t xml:space="preserve">“let us go to him outside the camp”</w:t>
      </w:r>
      <w:r>
        <w:t xml:space="preserve"> </w:t>
      </w:r>
      <w:r>
        <w:t xml:space="preserve">(v. 13). Ask your congregation: Where is the camp you are still inside for comfort’s sake? Go to Jesus there, outside it, even at cost.</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Let the benediction of 13:20–21 do what it was designed to do — produce confidence, not anxiety, about your capacity to obey.</w:t>
      </w:r>
    </w:p>
    <w:p>
      <w:pPr>
        <w:pStyle w:val="BodyText"/>
      </w:pPr>
      <w:r>
        <w:t xml:space="preserve">The closing benediction is not decorative; it is load-bearing. The God who raised Jesus from the dead</w:t>
      </w:r>
      <w:r>
        <w:t xml:space="preserve"> </w:t>
      </w:r>
      <w:r>
        <w:rPr>
          <w:i/>
          <w:iCs/>
        </w:rPr>
        <w:t xml:space="preserve">through the blood of the eternal covenant</w:t>
      </w:r>
      <w:r>
        <w:t xml:space="preserve"> </w:t>
      </w:r>
      <w:r>
        <w:t xml:space="preserve">— that God is the one who will</w:t>
      </w:r>
      <w:r>
        <w:t xml:space="preserve"> </w:t>
      </w:r>
      <w:r>
        <w:t xml:space="preserve">“equip you with everything good to do his will, working in us that which is pleasing in his sight”</w:t>
      </w:r>
      <w:r>
        <w:t xml:space="preserve"> </w:t>
      </w:r>
      <w:r>
        <w:t xml:space="preserve">(v. 21). The author has given this community a chapter full of hard commands, and then he has prayed this prayer over them. He is not naive about the difficulty of obedience; he is confident about the adequacy of the One who enables it. The congregation that worships the God of this benediction — the God of peace who defeats death through covenant blood — does not approach obedience as orphans wondering if they have enough. They approach it as children of a covenant-keeping God who has already done the hardest thing. Let your affections be shaped by what He has already accomplished, not merely by what you are still being asked to do.</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contentment is a theological position before it is an emotional state — and examine what your financial anxieties reveal about your actual doctrine of God.</w:t>
      </w:r>
    </w:p>
    <w:p>
      <w:pPr>
        <w:pStyle w:val="BodyText"/>
      </w:pPr>
      <w:r>
        <w:t xml:space="preserve">Verses 5–6 are among the most pastorally pointed in the chapter. The command to</w:t>
      </w:r>
      <w:r>
        <w:t xml:space="preserve"> </w:t>
      </w:r>
      <w:r>
        <w:t xml:space="preserve">“keep your life free from love of money and be content with what you have”</w:t>
      </w:r>
      <w:r>
        <w:t xml:space="preserve"> </w:t>
      </w:r>
      <w:r>
        <w:t xml:space="preserve">is immediately grounded not in financial planning but in a direct quote from Deuteronomy 31:</w:t>
      </w:r>
      <w:r>
        <w:t xml:space="preserve"> </w:t>
      </w:r>
      <w:r>
        <w:t xml:space="preserve">“I will never leave you nor forsake you.”</w:t>
      </w:r>
      <w:r>
        <w:t xml:space="preserve"> </w:t>
      </w:r>
      <w:r>
        <w:t xml:space="preserve">The diagnostic question is not</w:t>
      </w:r>
      <w:r>
        <w:t xml:space="preserve"> </w:t>
      </w:r>
      <w:r>
        <w:t xml:space="preserve">“how much do you have?”</w:t>
      </w:r>
      <w:r>
        <w:t xml:space="preserve"> </w:t>
      </w:r>
      <w:r>
        <w:t xml:space="preserve">but</w:t>
      </w:r>
      <w:r>
        <w:t xml:space="preserve"> </w:t>
      </w:r>
      <w:r>
        <w:t xml:space="preserve">“who do you believe is with you?”</w:t>
      </w:r>
      <w:r>
        <w:t xml:space="preserve"> </w:t>
      </w:r>
      <w:r>
        <w:t xml:space="preserve">Financial anxiety, money-love, and discontentment are not primarily economic problems; they are doctrinal problems. They reveal a functional belief that God’s presence is either insufficient or uncertain. When the congregation finds itself anxious about money, grasping for more, or unable to give generously, the author’s prescription is not budgeting — it is theological recalibration. The Lord is your helper (v. 6, quoting Ps. 118). What exactly do you believe that means for Monday morning?</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w:t>
      </w:r>
      <w:r>
        <w:rPr>
          <w:b/>
          <w:bCs/>
        </w:rPr>
        <w:t xml:space="preserve"> </w:t>
      </w:r>
      <w:r>
        <w:rPr>
          <w:b/>
          <w:bCs/>
        </w:rPr>
        <w:t xml:space="preserve">“sacrifices”</w:t>
      </w:r>
      <w:r>
        <w:rPr>
          <w:b/>
          <w:bCs/>
        </w:rPr>
        <w:t xml:space="preserve"> </w:t>
      </w:r>
      <w:r>
        <w:rPr>
          <w:b/>
          <w:bCs/>
        </w:rPr>
        <w:t xml:space="preserve">of praise and practical good (vv. 15–16) become the natural rhythm of a community that knows its atonement is finished.</w:t>
      </w:r>
    </w:p>
    <w:p>
      <w:pPr>
        <w:pStyle w:val="BodyText"/>
      </w:pPr>
      <w:r>
        <w:t xml:space="preserve">There is a particular kind of worship that flows from a people who know they owe nothing more — because the one sacrifice that mattered has been accepted. The twin sacrifices of Hebrews 13:15–16 (praise with the lips, generosity with the hands) are not religious duties added to an already sufficient atonement; they are the spontaneous expression of a community living in the freedom of completed redemption. The congregation that labors to earn God’s favor through spiritual performance will offer praise as payment and giving as penance. The congregation that rests in the finality of Christ’s sacrifice will offer both as joy — as</w:t>
      </w:r>
      <w:r>
        <w:t xml:space="preserve"> </w:t>
      </w:r>
      <w:r>
        <w:t xml:space="preserve">“through him”</w:t>
      </w:r>
      <w:r>
        <w:t xml:space="preserve"> </w:t>
      </w:r>
      <w:r>
        <w:t xml:space="preserve">responses to what has already been accomplished. Cultivate in your congregation the habit of asking: Is our worship the anxiety of the uncertain, or the glad response of the forgiven?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13 demonstrates that the most sophisticated high-priestly Christology in the New Testament does not produce speculative detachment from ordinary life — it produces a community of radical, embodied, costly love. The passage teaches that God’s character as the faithful covenant-keeper (</w:t>
      </w:r>
      <w:r>
        <w:t xml:space="preserve">“I will never leave you nor forsake you”</w:t>
      </w:r>
      <w:r>
        <w:t xml:space="preserve">) is the only adequate ground for human contentment, generosity, and courageous marginalization. The unchangeability of Christ (v. 8) is not a philosophical attribute but a pastoral anchor — the same Christ the faithful leaders proclaimed is available now, making doctrinal stability both possible and obligatory. Above all, the benediction of vv. 20–21 teaches that God’s equipping of His people for obedience is not separable from His act of raising Jesus through the blood of the eternal covenant — every moral imperative in this chapter flows from and is enabled by the same event that conquered death.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Hebrews 13 is a key text for the Reformed doctrine of the perseverance of the saints understood not merely as a fact about the elect but as a call to a particular kind of community existence. The</w:t>
      </w:r>
      <w:r>
        <w:t xml:space="preserve"> </w:t>
      </w:r>
      <w:r>
        <w:t xml:space="preserve">“once-for-all”</w:t>
      </w:r>
      <w:r>
        <w:t xml:space="preserve"> </w:t>
      </w:r>
      <w:r>
        <w:t xml:space="preserve">sacrifice logic of Hebrews 9–10 reaches its ethical conclusion here: because nothing can be added to Christ’s sacrifice, the community’s life is freed from propitiatory anxiety and shaped entirely by grateful response — praise and practical good as sacrifices that need not achieve what Christ has already accomplished. The passage also provides the biblical grounding for the Reformed understanding of vocation and ordinary life: the hospitality, marriage honor, solidarity with prisoners, and financial contentment of vv. 1–6 are not second-tier spiritual activities but are explicitly named as</w:t>
      </w:r>
      <w:r>
        <w:t xml:space="preserve"> </w:t>
      </w:r>
      <w:r>
        <w:t xml:space="preserve">“pleasing to God”</w:t>
      </w:r>
      <w:r>
        <w:t xml:space="preserve"> </w:t>
      </w:r>
      <w:r>
        <w:t xml:space="preserve">(v. 16) alongside worship. The eschatological orientation of v. 14 (</w:t>
      </w:r>
      <w:r>
        <w:t xml:space="preserve">“no lasting city here, we seek the city that is to come”</w:t>
      </w:r>
      <w:r>
        <w:t xml:space="preserve">) grounds the Reformed understanding of the church as a pilgrim community whose primary citizenship is heavenly — not withdrawn from the world, but never captive to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theology of Hebrews was never meant to be a destination — it was always meant to be a launch pad. Jesus Christ, your great high priest, has made the one sacrifice that will never need repeating, ratified the eternal covenant in His own blood, and risen from the dead. That means you can stop grasping for money, stop hiding inside the camp, stop being destabilized by every new teaching, and start loving your brothers, honoring your marriage, opening your home, and bearing His reproach in the places where it costs something. The God who raised Jesus from the dead is right now equipping you to do every hard thing in this chapter. Live like that is true.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Hebrews 13 as a disconnected ethical appendix.</w:t>
      </w:r>
      <w:r>
        <w:t xml:space="preserve"> </w:t>
      </w:r>
      <w:r>
        <w:t xml:space="preserve">The most common homiletical failure with this chapter is reading it as a list of unrelated moral instructions tacked onto a doctrinal letter —</w:t>
      </w:r>
      <w:r>
        <w:t xml:space="preserve"> </w:t>
      </w:r>
      <w:r>
        <w:t xml:space="preserve">“now that the theology is done, here are some practical tips.”</w:t>
      </w:r>
      <w:r>
        <w:t xml:space="preserve"> </w:t>
      </w:r>
      <w:r>
        <w:t xml:space="preserve">This misses the chapter’s architecture entirely. Every imperative in the chapter is tethered to a theological anchor (vv. 5–6 to God’s presence, v. 8 to Christ’s unchangingness, v. 13 to Christ’s reproach, vv. 15–16 to Christ’s completed sacrifice, vv. 20–21 to the eternal covenant). Preach the imperatives from their anchors, or you will produce moral instruction rather than gospel transformation.</w:t>
      </w:r>
    </w:p>
    <w:p>
      <w:pPr>
        <w:numPr>
          <w:ilvl w:val="0"/>
          <w:numId w:val="1002"/>
        </w:numPr>
      </w:pPr>
      <w:r>
        <w:rPr>
          <w:b/>
          <w:bCs/>
        </w:rPr>
        <w:t xml:space="preserve">Decontextualizing verse 8 as a general-purpose axiom.</w:t>
      </w:r>
      <w:r>
        <w:t xml:space="preserve"> </w:t>
      </w:r>
      <w:r>
        <w:t xml:space="preserve">“Jesus Christ is the same yesterday, today, and forever”</w:t>
      </w:r>
      <w:r>
        <w:t xml:space="preserve"> </w:t>
      </w:r>
      <w:r>
        <w:t xml:space="preserve">is one of the most extracted verses in Hebrews. Used apart from its context (sandwiched between a call to imitate past leaders’ faith and a warning against strange teachings), it becomes a floating proposition applied to anything from miraculous healing to emotional consistency. In context, it is a doctrinal stability warrant: the Christ your faithful predecessors trusted has not been superseded. Restore the verse’s context before expanding its application.</w:t>
      </w:r>
    </w:p>
    <w:p>
      <w:pPr>
        <w:numPr>
          <w:ilvl w:val="0"/>
          <w:numId w:val="1002"/>
        </w:numPr>
      </w:pPr>
      <w:r>
        <w:rPr>
          <w:b/>
          <w:bCs/>
        </w:rPr>
        <w:t xml:space="preserve">Using verses 15–16 to support an ongoing propitiatory sacrifice.</w:t>
      </w:r>
      <w:r>
        <w:t xml:space="preserve"> </w:t>
      </w:r>
      <w:r>
        <w:t xml:space="preserve">The Roman Catholic reading of these verses as supporting a sacrificial understanding of the Eucharist founders on the exegetical bedrock of Hebrews 9–10. The sacrifices named in 13:15–16 are explicitly responsive and non-propitiatory — praise and practical good offered</w:t>
      </w:r>
      <w:r>
        <w:t xml:space="preserve"> </w:t>
      </w:r>
      <w:r>
        <w:rPr>
          <w:i/>
          <w:iCs/>
        </w:rPr>
        <w:t xml:space="preserve">through him</w:t>
      </w:r>
      <w:r>
        <w:t xml:space="preserve">, not instead of him or in addition to him. Any exposition that allows vv. 15–16 to re-open the propitiatory question must be evaluated against the explicit argument of chapters 9–10.</w:t>
      </w:r>
    </w:p>
    <w:p>
      <w:pPr>
        <w:numPr>
          <w:ilvl w:val="0"/>
          <w:numId w:val="1002"/>
        </w:numPr>
      </w:pPr>
      <w:r>
        <w:rPr>
          <w:b/>
          <w:bCs/>
        </w:rPr>
        <w:t xml:space="preserve">Romanticizing</w:t>
      </w:r>
      <w:r>
        <w:rPr>
          <w:b/>
          <w:bCs/>
        </w:rPr>
        <w:t xml:space="preserve"> </w:t>
      </w:r>
      <w:r>
        <w:rPr>
          <w:b/>
          <w:bCs/>
        </w:rPr>
        <w:t xml:space="preserve">“outside the camp”</w:t>
      </w:r>
      <w:r>
        <w:rPr>
          <w:b/>
          <w:bCs/>
        </w:rPr>
        <w:t xml:space="preserve"> </w:t>
      </w:r>
      <w:r>
        <w:rPr>
          <w:b/>
          <w:bCs/>
        </w:rPr>
        <w:t xml:space="preserve">without naming the actual cost.</w:t>
      </w:r>
      <w:r>
        <w:t xml:space="preserve"> </w:t>
      </w:r>
      <w:r>
        <w:t xml:space="preserve">Hebrews 13:13 is an emotionally appealing verse in contexts where bearing Christ’s reproach is relatively costless. The preacher must resist the temptation to preach it as triumphalist spirituality —</w:t>
      </w:r>
      <w:r>
        <w:t xml:space="preserve"> </w:t>
      </w:r>
      <w:r>
        <w:t xml:space="preserve">“we identify with Jesus the outsider”</w:t>
      </w:r>
      <w:r>
        <w:t xml:space="preserve"> </w:t>
      </w:r>
      <w:r>
        <w:t xml:space="preserve">— without confronting the congregation with the specific social, professional, familial, or economic costs of genuine reproach-bearing in their context. The original community faced loss of synagogue community, social standing, and economic network. Ask what the equivalent is for your congregation and name it specifically.</w:t>
      </w:r>
    </w:p>
    <w:p>
      <w:pPr>
        <w:numPr>
          <w:ilvl w:val="0"/>
          <w:numId w:val="1002"/>
        </w:numPr>
      </w:pPr>
      <w:r>
        <w:rPr>
          <w:b/>
          <w:bCs/>
        </w:rPr>
        <w:t xml:space="preserve">Preaching contentment (vv. 5–6) as a sanctification technique rather than a theological position.</w:t>
      </w:r>
      <w:r>
        <w:t xml:space="preserve"> </w:t>
      </w:r>
      <w:r>
        <w:t xml:space="preserve">The command to be content with what you have is frequently preached as spiritual discipline — be grateful, practice thankfulness, journal your blessings. The author grounds contentment not in practice but in promise:</w:t>
      </w:r>
      <w:r>
        <w:t xml:space="preserve"> </w:t>
      </w:r>
      <w:r>
        <w:t xml:space="preserve">“for he has said,</w:t>
      </w:r>
      <w:r>
        <w:t xml:space="preserve"> </w:t>
      </w:r>
      <w:r>
        <w:t xml:space="preserve">‘I will never leave you nor forsake you.’</w:t>
      </w:r>
      <w:r>
        <w:t xml:space="preserve">”</w:t>
      </w:r>
      <w:r>
        <w:t xml:space="preserve"> </w:t>
      </w:r>
      <w:r>
        <w:t xml:space="preserve">Contentment is the rational response to the belief that God is genuinely, actively, sufficiently present. Preaching it as technique rather than theological position will produce performance rather than rest.</w:t>
      </w:r>
    </w:p>
    <w:p>
      <w:pPr>
        <w:numPr>
          <w:ilvl w:val="0"/>
          <w:numId w:val="1002"/>
        </w:numPr>
      </w:pPr>
      <w:r>
        <w:rPr>
          <w:b/>
          <w:bCs/>
        </w:rPr>
        <w:t xml:space="preserve">Skipping or rushing the benediction (vv. 20–21).</w:t>
      </w:r>
      <w:r>
        <w:t xml:space="preserve"> </w:t>
      </w:r>
      <w:r>
        <w:t xml:space="preserve">The benediction is not the letter’s polite sign-off — it is its theological climax.</w:t>
      </w:r>
      <w:r>
        <w:t xml:space="preserve"> </w:t>
      </w:r>
      <w:r>
        <w:t xml:space="preserve">“The God of peace who brought again from the dead our Lord Jesus, the great shepherd of the sheep, by the blood of the eternal covenant”</w:t>
      </w:r>
      <w:r>
        <w:t xml:space="preserve"> </w:t>
      </w:r>
      <w:r>
        <w:t xml:space="preserve">is the most compressed christological and covenantal statement in the chapter. Every hard command that precedes it is contextualized by the equipping prayer that follows it. A congregation sent out on the commands of vv. 1–17 without the assurance of vv. 20–21 has been given the task without the resource. Preach the benediction as the chapter’s final and most important word.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2026-07-14T21:08:27Z</dcterms:created>
  <dcterms:modified xsi:type="dcterms:W3CDTF">2026-07-14T21:08:27Z</dcterms:modified>
</cp:coreProperties>
</file>

<file path=docProps/custom.xml><?xml version="1.0" encoding="utf-8"?>
<Properties xmlns="http://schemas.openxmlformats.org/officeDocument/2006/custom-properties" xmlns:vt="http://schemas.openxmlformats.org/officeDocument/2006/docPropsVTypes"/>
</file>